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rPr>
          <w:sz w:val="44"/>
          <w:szCs w:val="44"/>
        </w:rPr>
      </w:pPr>
      <w:bookmarkStart w:id="0" w:name="introduction"/>
      <w:r>
        <w:rPr>
          <w:sz w:val="44"/>
          <w:szCs w:val="44"/>
        </w:rPr>
        <w:t>Introduction</w:t>
      </w:r>
    </w:p>
    <w:p>
      <w:pPr>
        <w:pStyle w:val="Heading2"/>
        <w:rPr>
          <w:sz w:val="32"/>
          <w:szCs w:val="32"/>
        </w:rPr>
      </w:pPr>
      <w:r>
        <w:rPr>
          <w:sz w:val="32"/>
          <w:szCs w:val="32"/>
        </w:rPr>
        <w:t xml:space="preserve">I. </w:t>
      </w:r>
      <w:r>
        <w:rPr>
          <w:sz w:val="32"/>
          <w:szCs w:val="32"/>
          <w:shd w:fill="FFFFFF" w:val="clear"/>
        </w:rPr>
        <w:t>Why Cultural Coordination Fails</w:t>
      </w:r>
    </w:p>
    <w:p>
      <w:pPr>
        <w:pStyle w:val="FirstParagraph"/>
        <w:rPr/>
      </w:pPr>
      <w:r>
        <w:rPr/>
        <w:t>A European engineering firm and a Chinese manufacturer spend six months negotiating a joint venture. Specifications are agreed. Timelines are set. Prices are finalised. Both sides sign. Three months into production, the relationship collapses — not over technical disagreements, but over something neither side can name precisely. The European side expected weekly written progress reports, individual accountability for defects, and escalation through formal channels when problems arose. The Chinese side expected relationship-based problem-solving, collective responsibility that made individual blame inappropriate, and the understanding that flexibility in timelines was a sign of commitment, not negligence. Both sides performed what their respective cultural coordination systems defined as professional conduct. Both sides experienced the other’s behaviour as a breach of trust.</w:t>
      </w:r>
    </w:p>
    <w:p>
      <w:pPr>
        <w:pStyle w:val="BodyText"/>
        <w:rPr/>
      </w:pPr>
      <w:r>
        <w:rPr/>
        <w:t>When asked what went wrong, both teams gave the same answer: “It’s cultural.”</w:t>
      </w:r>
    </w:p>
    <w:p>
      <w:pPr>
        <w:pStyle w:val="BodyText"/>
        <w:rPr/>
      </w:pPr>
      <w:r>
        <w:rPr/>
        <w:t xml:space="preserve">Neither could explain what that meant. Neither had a framework for diagnosing the structural logic of the other’s coordination system, for understanding </w:t>
      </w:r>
      <w:r>
        <w:rPr>
          <w:i/>
          <w:iCs/>
        </w:rPr>
        <w:t>why</w:t>
      </w:r>
      <w:r>
        <w:rPr/>
        <w:t xml:space="preserve"> the same input — a quality reporting protocol — produced opposite outputs in two different cultural environments, or for designing an intervention that could bridge the gap without requiring either side to abandon its own coordination logic. The dimensional scores were available. Hofstede’s power distance index, Trompenaars’ universalism-particularism dimension, the GLOBE cultural clusters — all predicted that friction would occur. None explained how the friction actually operated at the level of daily coordination, where it would intensify, or what a practitioner could do about it in real time.</w:t>
      </w:r>
    </w:p>
    <w:p>
      <w:pPr>
        <w:pStyle w:val="BodyText"/>
        <w:rPr/>
      </w:pPr>
      <w:bookmarkStart w:id="1" w:name="i.-when-coordination-fails"/>
      <w:r>
        <w:rPr/>
        <w:t>This book exists because that gap — between knowing that cultures differ and understanding how cultural systems produce specific outcomes — has remained open for too long. The Culture-as-System (CaS) framework is designed to close it.</w:t>
      </w:r>
      <w:bookmarkEnd w:id="1"/>
    </w:p>
    <w:p>
      <w:pPr>
        <w:pStyle w:val="Heading2"/>
        <w:rPr>
          <w:sz w:val="32"/>
          <w:szCs w:val="32"/>
        </w:rPr>
      </w:pPr>
      <w:bookmarkStart w:id="2" w:name="ii.-a-journey-between-worlds"/>
      <w:r>
        <w:rPr>
          <w:sz w:val="32"/>
          <w:szCs w:val="32"/>
        </w:rPr>
        <w:t>II. A Journey Between Worlds</w:t>
      </w:r>
    </w:p>
    <w:p>
      <w:pPr>
        <w:pStyle w:val="FirstParagraph"/>
        <w:rPr/>
      </w:pPr>
      <w:r>
        <w:rPr/>
        <w:t>My engagement with cross-cultural complexity began not in a classroom but in transit — the productive friction of moving between cognitive worlds that do not translate cleanly into each other.</w:t>
      </w:r>
    </w:p>
    <w:p>
      <w:pPr>
        <w:pStyle w:val="BodyText"/>
        <w:rPr/>
      </w:pPr>
      <w:r>
        <w:rPr/>
        <w:t>Between 1986 and 1993, I studied Chinese Language and Literature alongside East Asian Economics at a German university, acquiring not merely linguistic competence but an early intuition that language and economic behaviour are inseparable expressions of underlying cultural architecture. In 1993, I moved to Taiwan. Working first in an import-export company and later founding a supply chain management firm serving European clients in the Greater China market, I spent two decades operating daily in the space where Germanic and Chinese business logic collide — where contracts mean different things, where silence carries different information, and where the same act of deference can signal respect in one system and evasion in another.</w:t>
      </w:r>
    </w:p>
    <w:p>
      <w:pPr>
        <w:pStyle w:val="BodyText"/>
        <w:rPr/>
      </w:pPr>
      <w:r>
        <w:rPr/>
        <w:t>In 1999, I researched and taught cross-cultural business ethics at Auckland University of Technology, adding broader Asia-Pacific dimensions to what had been a primarily European-Chinese axis. From 2003 onward, I conducted cross-cultural seminars for European companies entering the Greater China market — translating academic frameworks into operational guidance for practitioners navigating real commercial consequences. In 2011, I began studying systems thinking and permaculture design, disciplines that would eventually provide the structural language for the framework in this book.</w:t>
      </w:r>
    </w:p>
    <w:p>
      <w:pPr>
        <w:pStyle w:val="BodyText"/>
        <w:rPr/>
      </w:pPr>
      <w:r>
        <w:rPr/>
        <w:t xml:space="preserve">These are not biographical details offered for credentialing. </w:t>
      </w:r>
      <w:r>
        <w:rPr>
          <w:shd w:fill="FFFFFF" w:val="clear"/>
        </w:rPr>
        <w:t xml:space="preserve">These are the experiences that form the foundation from which the CaS framework was built </w:t>
      </w:r>
      <w:r>
        <w:rPr/>
        <w:t xml:space="preserve">— a twenty-year experiment in living at the interface between two fundamentally different coordination systems and trying, repeatedly, to explain to practitioners on both sides why knowing </w:t>
      </w:r>
      <w:r>
        <w:rPr>
          <w:i/>
          <w:iCs/>
        </w:rPr>
        <w:t>that</w:t>
      </w:r>
      <w:r>
        <w:rPr/>
        <w:t xml:space="preserve"> cultures differ is not the same as knowing </w:t>
      </w:r>
      <w:r>
        <w:rPr>
          <w:i/>
          <w:iCs/>
        </w:rPr>
        <w:t>how</w:t>
      </w:r>
      <w:r>
        <w:rPr/>
        <w:t xml:space="preserve"> to work across that difference.</w:t>
      </w:r>
      <w:bookmarkEnd w:id="2"/>
    </w:p>
    <w:p>
      <w:pPr>
        <w:pStyle w:val="Heading2"/>
        <w:rPr>
          <w:sz w:val="32"/>
          <w:szCs w:val="32"/>
        </w:rPr>
      </w:pPr>
      <w:r>
        <w:rPr>
          <w:sz w:val="32"/>
          <w:szCs w:val="32"/>
        </w:rPr>
        <w:t>III. The Scholar-Practitioner Position</w:t>
      </w:r>
    </w:p>
    <w:p>
      <w:pPr>
        <w:pStyle w:val="FirstParagraph"/>
        <w:rPr/>
      </w:pPr>
      <w:r>
        <w:rPr/>
        <w:t>The CaS framework emerges from a specific intellectual posture: that of the scholar-practitioner — someone who has inhabited academic research and applied business practice simultaneously, and who regards the tension between the two not as a problem to be resolved but as a source of analytical clarity.</w:t>
      </w:r>
    </w:p>
    <w:p>
      <w:pPr>
        <w:pStyle w:val="BodyText"/>
        <w:rPr/>
      </w:pPr>
      <w:r>
        <w:rPr/>
        <w:t>From 1993 to 2014, every theoretical engagement with cultural frameworks was tested against commercial reality. When Hofstede’s power distance index predicted deference to hierarchy in Chinese organisational contexts, I was simultaneously managing supplier relationships in which that deference was strategically performed, situationally withheld, and structurally ambiguous in ways the index did not capture. When Trompenaars’ universalism-particularism dimension illuminated contract negotiation dynamics between German and Taiwanese counterparts, the living reality involved temporal rhythms, relational obligations, and face-saving manoeuvres that the dimension gestured toward without fully explaining.</w:t>
      </w:r>
    </w:p>
    <w:p>
      <w:pPr>
        <w:pStyle w:val="BodyText"/>
        <w:rPr/>
      </w:pPr>
      <w:r>
        <w:rPr/>
        <w:t>This productive friction between framework and experience generated the questions that drive this book: Why do specific cultural value configurations reproduce themselves across generations even under rapid economic modernisation? Why do German-Chinese joint ventures encounter the same categories of misunderstanding in 2010 that they encountered in 1980, despite vastly different levels of mutual familiarity? Why do surface behavioural adaptations — Chinese managers learning German directness, German managers learning Chinese relational protocol — so rarely dissolve the deeper cognitive friction?</w:t>
      </w:r>
    </w:p>
    <w:p>
      <w:pPr>
        <w:pStyle w:val="BodyText"/>
        <w:rPr/>
      </w:pPr>
      <w:bookmarkStart w:id="3" w:name="iii.-the-scholar-practitioner-position"/>
      <w:r>
        <w:rPr/>
        <w:t>These questions point beneath values and behaviours to the coordination logic that generates them — and that is where systems thinking begins.</w:t>
      </w:r>
      <w:bookmarkEnd w:id="3"/>
    </w:p>
    <w:p>
      <w:pPr>
        <w:pStyle w:val="Heading2"/>
        <w:rPr>
          <w:sz w:val="32"/>
          <w:szCs w:val="32"/>
        </w:rPr>
      </w:pPr>
      <w:bookmarkStart w:id="4" w:name="iv.-why-culture-is-a-system"/>
      <w:r>
        <w:rPr>
          <w:sz w:val="32"/>
          <w:szCs w:val="32"/>
        </w:rPr>
        <w:t>IV. Why Culture Is a System</w:t>
      </w:r>
    </w:p>
    <w:p>
      <w:pPr>
        <w:pStyle w:val="FirstParagraph"/>
        <w:rPr/>
      </w:pPr>
      <w:r>
        <w:rPr/>
        <w:t>The concept of a system, in the technical sense that systems thinking employs it, refers to a set of elements interconnected in ways that produce behaviour over time that no individual element could produce alone. A system is characterised by feedback loops — circular chains of causality in which outputs become inputs and consequences loop back to modify the conditions that generated them. It is characterised by emergence — properties that arise from interactions between components and cannot be predicted from the components examined in isolation. And it is characterised by leverage points: places in the structure where a small intervention can produce disproportionately large change.</w:t>
      </w:r>
    </w:p>
    <w:p>
      <w:pPr>
        <w:pStyle w:val="BodyText"/>
        <w:rPr/>
      </w:pPr>
      <w:r>
        <w:rPr/>
        <w:t xml:space="preserve">Donella Meadows (2008) argued that the deepest leverage points in any system are its paradigms — the shared ideas, unstated assumptions, and implicit frameworks through which participants understand the world. Culture, in this precise technical sense, is a paradigm-level phenomenon. Peter Senge (1990) extended systems thinking into organisational learning, identifying mental models — deeply ingrained assumptions that shape how we understand the world — </w:t>
      </w:r>
      <w:r>
        <w:rPr>
          <w:shd w:fill="FFFFFF" w:val="clear"/>
        </w:rPr>
        <w:t>as the underlying layers that generate systemic dysfunction.</w:t>
      </w:r>
      <w:r>
        <w:rPr/>
        <w:t xml:space="preserve"> Russell Ackoff’s (1999) concept of purposeful systems adds a dimension directly relevant to cultural analysis: cultural misunderstanding is not merely cognitive but purposive conflict operating below the level of conscious negotiation. These thinkers provide the intellectual architecture that the CaS framework builds on; their work is developed in detail throughout the book, particularly in Chapters 1 through 3.</w:t>
      </w:r>
    </w:p>
    <w:p>
      <w:pPr>
        <w:pStyle w:val="BodyText"/>
        <w:rPr/>
      </w:pPr>
      <w:r>
        <w:rPr/>
        <w:t xml:space="preserve">One further distinction from complexity science is essential. Snowden and Boone (2007), in the Cynefin framework, distinguish between </w:t>
      </w:r>
      <w:r>
        <w:rPr>
          <w:b/>
          <w:bCs/>
        </w:rPr>
        <w:t>complicated</w:t>
      </w:r>
      <w:r>
        <w:rPr/>
        <w:t xml:space="preserve"> problems — difficult but solvable through expertise, with stable cause-and-effect relationships — and </w:t>
      </w:r>
      <w:r>
        <w:rPr>
          <w:b/>
          <w:bCs/>
        </w:rPr>
        <w:t>complex</w:t>
      </w:r>
      <w:r>
        <w:rPr/>
        <w:t xml:space="preserve"> problems, where cause and effect are entangled, nonlinear, and only knowable in retrospect. Most cross-cultural management treats cultural difference as a complicated problem: gather enough data, refine the dimensional instruments, and reliable rules will emerge. But cultural interfaces are complex in the technical sense. The same communication gesture — directness, silence, punctuality — produces different effects depending on relational history, power gradients, constraint environments, and the recipient’s interpretive framework. The appropriate response to a complex problem is not the application of best practice but the iterative discipline of probing, sensing, and adjusting — what Cynefin terms probe-sense-respond. This distinction shapes the entire book’s methodology, from Chapter 7’s signal interpretation discipline (which requires a minimum of three competing hypotheses before any interpretation is selected) to Chapter 13’s distinction between reform and replacement in cultural change management.</w:t>
      </w:r>
    </w:p>
    <w:p>
      <w:pPr>
        <w:pStyle w:val="BodyText"/>
        <w:rPr/>
      </w:pPr>
      <w:r>
        <w:rPr/>
        <w:t>Treating culture as a system offers four specific advantages over the dimensional and typological frameworks that currently dominate the field.</w:t>
      </w:r>
    </w:p>
    <w:p>
      <w:pPr>
        <w:pStyle w:val="BodyText"/>
        <w:rPr/>
      </w:pPr>
      <w:r>
        <w:rPr>
          <w:b/>
          <w:bCs/>
        </w:rPr>
        <w:t>First, it explains reproduction.</w:t>
      </w:r>
      <w:r>
        <w:rPr/>
        <w:t xml:space="preserve"> Systems thinking accounts for why cultural patterns persist across time through feedback mechanisms that continuously regenerate the conditions that sustain them. A dimensional score is a static measurement; a cultural system is a dynamic process.</w:t>
      </w:r>
    </w:p>
    <w:p>
      <w:pPr>
        <w:pStyle w:val="BodyText"/>
        <w:rPr/>
      </w:pPr>
      <w:r>
        <w:rPr>
          <w:b/>
          <w:bCs/>
        </w:rPr>
        <w:t>Second, it explains interaction effects.</w:t>
      </w:r>
      <w:r>
        <w:rPr/>
        <w:t xml:space="preserve"> Dimensional frameworks treat cultural variables as largely independent. In practice, cultural dimensions interact nonlinearly, producing emergent configurations that cannot be predicted from individual scores.</w:t>
      </w:r>
    </w:p>
    <w:p>
      <w:pPr>
        <w:pStyle w:val="BodyText"/>
        <w:rPr/>
      </w:pPr>
      <w:r>
        <w:rPr>
          <w:b/>
          <w:bCs/>
        </w:rPr>
        <w:t>Third, it neutralises analytical bias.</w:t>
      </w:r>
      <w:r>
        <w:rPr/>
        <w:t xml:space="preserve"> A dimensional framework inevitably positions some cultures as reference points against which others are measured. Treating culture as a system shifts the analytical question from </w:t>
      </w:r>
      <w:r>
        <w:rPr>
          <w:i/>
          <w:iCs/>
        </w:rPr>
        <w:t>how does culture X differ from the norm</w:t>
      </w:r>
      <w:r>
        <w:rPr/>
        <w:t xml:space="preserve"> to </w:t>
      </w:r>
      <w:r>
        <w:rPr>
          <w:i/>
          <w:iCs/>
        </w:rPr>
        <w:t>what is the functional logic of this particular system</w:t>
      </w:r>
      <w:r>
        <w:rPr/>
        <w:t xml:space="preserve"> — a question that carries no implicit hierarchy.</w:t>
      </w:r>
    </w:p>
    <w:p>
      <w:pPr>
        <w:pStyle w:val="BodyText"/>
        <w:rPr/>
      </w:pPr>
      <w:r>
        <w:rPr>
          <w:b/>
          <w:bCs/>
        </w:rPr>
        <w:t>Fourth, it identifies leverage.</w:t>
      </w:r>
      <w:r>
        <w:rPr/>
        <w:t xml:space="preserve"> Practitioners working across cultural boundaries do not need an exhaustive inventory of differences. They need to know where, in a complex cultural system, a well-placed intervention will have the greatest effect. Systems thinking is, at its core, a theory of leverage.</w:t>
      </w:r>
      <w:bookmarkEnd w:id="4"/>
    </w:p>
    <w:p>
      <w:pPr>
        <w:pStyle w:val="Heading2"/>
        <w:rPr>
          <w:sz w:val="32"/>
          <w:szCs w:val="32"/>
        </w:rPr>
      </w:pPr>
      <w:r>
        <w:rPr>
          <w:sz w:val="32"/>
          <w:szCs w:val="32"/>
        </w:rPr>
        <w:t>V. A Note on Method: Writing with AI</w:t>
      </w:r>
    </w:p>
    <w:p>
      <w:pPr>
        <w:pStyle w:val="FirstParagraph"/>
        <w:rPr/>
      </w:pPr>
      <w:r>
        <w:rPr/>
        <w:t>This book was written with the assistance of large language models. The ideas, theoretical architecture, case analyses, and practitioner insights are the product of twenty years of lived experience in cross-cultural business relationships. No language model accumulated that experience. What the models contributed was different and more limited: they served as Socratic interlocutors — helping me think out loud at scale, structure arguments more precisely, and find language for insights I already possessed but had not yet articulated with sufficient clarity.</w:t>
      </w:r>
    </w:p>
    <w:p>
      <w:pPr>
        <w:pStyle w:val="BodyText"/>
        <w:rPr/>
      </w:pPr>
      <w:r>
        <w:rPr/>
        <w:t>The distinction that matters is between AI-assisted scholarship and AI-generated content. The former uses the tool in service of human understanding. The latter substitutes the tool for it.</w:t>
      </w:r>
    </w:p>
    <w:p>
      <w:pPr>
        <w:pStyle w:val="BodyText"/>
        <w:rPr/>
      </w:pPr>
      <w:r>
        <w:rPr/>
        <w:t>It would be convenient to describe these AI interlocutors as culturally neutral. That description would be false. Large language models are culturally composite systems. Their training corpora carry the demographic and linguistic weight of predominantly English-language, Western-origin knowledge production. Their behavioural shaping through human feedback reflects the cognitive preferences of annotator pools that are themselves culturally situated — research indicates that often fewer than one hundred individuals shape language model behaviours through feedback processes (Kirk et al., 2023). Empirical studies have documented systematic misalignment between LLM outputs and non-Western cultural value systems (Tao et al., 2024), identified “an American accent” in GPT-3’s value system regardless of query framing (Johnson et al., 2022), and classified four distinct categories of cultural bias in current models: axiological-civilisational, racial-ethnic, national, and religious-ideological (Masoud et al., 2024). The most recent evidence shows that social identity biases in LLMs — including favouritism toward culturally dominant ingroups — persist across models, training datasets, and real-world human-LLM interactions (Nature Computational Science, 2024).</w:t>
      </w:r>
    </w:p>
    <w:p>
      <w:pPr>
        <w:pStyle w:val="BodyText"/>
        <w:rPr/>
      </w:pPr>
      <w:bookmarkStart w:id="5" w:name="v.-a-note-on-method-writing-with-ai"/>
      <w:r>
        <w:rPr/>
        <w:t>This recognition is not incidental to the CaS framework — it is an illustration of it. Culture does not require a passport or a childhood. It accumulates wherever human cognition shapes a system over time. AI assistance was used throughout this work with disciplined awareness that the tool itself carries cultural assumptions, and that those assumptions required the same critical scrutiny the framework applies to any cultural interlocutor. Where an LLM’s framing felt epistemically parochial — defaulting to individualist logic, linear causality, or Western organisational assumptions — it was challenged, overridden, or discarded. The practitioner experience of operating between Germanic and Confucian cognitive worlds provided a corrective the tool could not provide for itself. This methodological concern becomes a substantive theoretical argument in Chapter 15.</w:t>
      </w:r>
      <w:bookmarkEnd w:id="5"/>
    </w:p>
    <w:p>
      <w:pPr>
        <w:pStyle w:val="Heading2"/>
        <w:spacing w:lineRule="auto" w:line="276" w:before="0" w:after="140"/>
        <w:rPr>
          <w:sz w:val="32"/>
          <w:szCs w:val="32"/>
        </w:rPr>
      </w:pPr>
      <w:r>
        <w:rPr>
          <w:sz w:val="32"/>
          <w:szCs w:val="32"/>
        </w:rPr>
      </w:r>
    </w:p>
    <w:p>
      <w:pPr>
        <w:pStyle w:val="Heading2"/>
        <w:spacing w:lineRule="auto" w:line="276" w:before="0" w:after="140"/>
        <w:rPr>
          <w:sz w:val="32"/>
          <w:szCs w:val="32"/>
        </w:rPr>
      </w:pPr>
      <w:r>
        <w:rPr>
          <w:sz w:val="32"/>
          <w:szCs w:val="32"/>
        </w:rPr>
        <w:t>VI. What This Book Offers</w:t>
      </w:r>
    </w:p>
    <w:p>
      <w:pPr>
        <w:pStyle w:val="BodyText"/>
        <w:rPr/>
      </w:pPr>
      <w:r>
        <w:rPr/>
        <w:t>This book is written for readers who must diagnose and act within cultural complexity rather than merely describe it. Its primary audience includes consultants, executive educators, international managers, organisational development and change professionals, advanced students of cross-cultural management, and practitioners working at the intersection of AI governance, organisational design, and global coordination.</w:t>
      </w:r>
    </w:p>
    <w:p>
      <w:pPr>
        <w:pStyle w:val="BodyText"/>
        <w:rPr/>
      </w:pPr>
      <w:r>
        <w:rPr/>
        <w:t>The book’s central contribution is a systems-based diagnostic and intervention framework for cross-cultural coordination in organisations. It is designed for situations in which cultural difference is not an abstract topic but an operational condition: multinational teams that cannot align action despite shared goals, headquarters and subsidiaries that interpret accountability differently, post-acquisition integrations where formal structures hide incompatible coordination logics, AI-supported decision systems that encode cultural assumptions into workflow architecture, and institutions that must redesign interfaces across unequal power gradients.</w:t>
      </w:r>
    </w:p>
    <w:p>
      <w:pPr>
        <w:pStyle w:val="BodyText"/>
        <w:rPr/>
      </w:pPr>
      <w:r>
        <w:rPr/>
        <w:t>The book has two interconnected intentions.</w:t>
      </w:r>
    </w:p>
    <w:p>
      <w:pPr>
        <w:pStyle w:val="BodyText"/>
        <w:rPr/>
      </w:pPr>
      <w:r>
        <w:rPr/>
        <w:t>The first is theoretical: to establish culture as a legitimate and analytically productive subject of systems thinking, and to demonstrate that the systemic approach resolves explanatory limitations that have accumulated in the dimensional and typological traditions over five decades of cross-cultural research. The CaS framework does not replace Hofstede, Trompenaars, Bond, Hall, Meyer, or Nisbett. It reframes their contributions as partial descriptions of a dynamic system rather than complete inventories of a static object — and in doing so, restores their explanatory power for practitioners who have found dimensional scores useful but insufficient.</w:t>
      </w:r>
    </w:p>
    <w:p>
      <w:pPr>
        <w:pStyle w:val="BodyText"/>
        <w:rPr/>
      </w:pPr>
      <w:r>
        <w:rPr/>
        <w:t>The second intention is practical: to provide a mode of perception and intervention that reveals the structural logic beneath behavioural surface, identifies where cultural systems are likely to resist change and where they are open to it, and enables intervention that is precise rather than generic. This is not a book of cultural tips. It is a book about how to think, diagnose, and design within cultural complexity in a way that makes the tips secondary.</w:t>
      </w:r>
    </w:p>
    <w:p>
      <w:pPr>
        <w:pStyle w:val="BodyText"/>
        <w:rPr/>
      </w:pPr>
      <w:r>
        <w:rPr/>
        <w:t>What the reader who finishes this book will possess is not a list of rules but a diagnostic capacity: the ability to look at a cross-cultural interface and ask what coordination problem is being solved here, under what constraints, by what mechanisms, through which legitimacy structure, and at whose cost — and to design responses that work with existing coordination logic rather than against it.</w:t>
      </w:r>
    </w:p>
    <w:p>
      <w:pPr>
        <w:pStyle w:val="BodyText"/>
        <w:rPr/>
      </w:pPr>
      <w:r>
        <w:rPr/>
      </w:r>
    </w:p>
    <w:p>
      <w:pPr>
        <w:pStyle w:val="Heading2"/>
        <w:spacing w:lineRule="auto" w:line="276" w:before="0" w:after="140"/>
        <w:rPr>
          <w:sz w:val="32"/>
          <w:szCs w:val="32"/>
        </w:rPr>
      </w:pPr>
      <w:r>
        <w:rPr>
          <w:sz w:val="32"/>
          <w:szCs w:val="32"/>
        </w:rPr>
        <w:t>VII. The Roadmap: From Argument to Capability</w:t>
      </w:r>
    </w:p>
    <w:p>
      <w:pPr>
        <w:pStyle w:val="BodyText"/>
        <w:rPr/>
      </w:pPr>
      <w:r>
        <w:rPr/>
        <w:t>The book’s narrative logic can be stated in a single sequence: culture is coordination infrastructure; coordination infrastructure operates under constraints; constraints are unevenly recognised and unequally maintained depending on power gradients; and the task of the cross-cultural analyst — whether human or AI-assisted — is to make those constraints, and those gradients, visible, contestable, and redesignable.</w:t>
      </w:r>
    </w:p>
    <w:p>
      <w:pPr>
        <w:pStyle w:val="BodyText"/>
        <w:rPr/>
      </w:pPr>
      <w:r>
        <w:rPr/>
        <w:t>The sixteen chapters that follow build this argument in four parts.</w:t>
      </w:r>
    </w:p>
    <w:p>
      <w:pPr>
        <w:pStyle w:val="BodyText"/>
        <w:rPr/>
      </w:pPr>
      <w:r>
        <w:rPr>
          <w:rStyle w:val="Strong"/>
        </w:rPr>
        <w:t>Part I: Foundations (Chapters 1–4)</w:t>
      </w:r>
      <w:r>
        <w:rPr/>
        <w:t xml:space="preserve"> establishes the theoretical architecture of the framework. It defines culture as a historically formed adaptive coordination system, examines what culture does, and explains how cultures form, stabilize, vary, adapt, and sometimes fail when constraint environments shift.</w:t>
      </w:r>
    </w:p>
    <w:p>
      <w:pPr>
        <w:pStyle w:val="BodyText"/>
        <w:rPr/>
      </w:pPr>
      <w:r>
        <w:rPr>
          <w:rStyle w:val="Strong"/>
        </w:rPr>
        <w:t>Part II: Complexity and Reading (Chapters 5–8)</w:t>
      </w:r>
      <w:r>
        <w:rPr/>
        <w:t xml:space="preserve"> examines the internal architecture of cultural systems. It moves from subsystems to interfaces, from observable manifestations to disciplined signal reading, and from cultural friction to the power and legitimacy structures that determine whose coordination logic becomes normal and who bears the costs of maintaining it.</w:t>
      </w:r>
    </w:p>
    <w:p>
      <w:pPr>
        <w:pStyle w:val="BodyText"/>
        <w:rPr/>
      </w:pPr>
      <w:r>
        <w:rPr>
          <w:rStyle w:val="Strong"/>
        </w:rPr>
        <w:t>Part III: Intervention (Chapters 9–13)</w:t>
      </w:r>
      <w:r>
        <w:rPr/>
        <w:t xml:space="preserve"> translates the framework into diagnostic and design practice. It develops the diagnostic stance, constraint-contingency audit, friction and failure-mode classification, maintenance-cost analysis, intervention design, sequencing, evaluation, and the strategic and economic conditions under which cultural-system interventions can actually hold.</w:t>
      </w:r>
    </w:p>
    <w:p>
      <w:pPr>
        <w:pStyle w:val="BodyText"/>
        <w:rPr/>
      </w:pPr>
      <w:r>
        <w:rPr>
          <w:rStyle w:val="Strong"/>
        </w:rPr>
        <w:t>Part IV: Application and Institutionalisation (Chapters 14–16)</w:t>
      </w:r>
      <w:r>
        <w:rPr/>
        <w:t xml:space="preserve"> extends the framework into organisational forms, AI-assisted decision support, and durable organisational practice. It shows how the CaS framework scales from individual interfaces to complex organisations, platform architectures, algorithmic systems, and the institutional roles needed to embed constraint-aware diagnosis as an organisational capability.</w:t>
      </w:r>
    </w:p>
    <w:p>
      <w:pPr>
        <w:pStyle w:val="BodyText"/>
        <w:rPr/>
      </w:pPr>
      <w:r>
        <w:rPr/>
        <w:t>The following sequence map summarises the capability the reader develops as the argument unfolds.</w:t>
      </w:r>
    </w:p>
    <w:p>
      <w:pPr>
        <w:pStyle w:val="BodyText"/>
        <w:rPr>
          <w:rStyle w:val="Strong"/>
        </w:rPr>
      </w:pPr>
      <w:r>
        <w:rPr/>
      </w:r>
    </w:p>
    <w:p>
      <w:pPr>
        <w:pStyle w:val="BodyText"/>
        <w:jc w:val="both"/>
        <w:rPr/>
      </w:pPr>
      <w:r>
        <w:rPr>
          <w:rStyle w:val="Strong"/>
          <w:sz w:val="32"/>
          <w:szCs w:val="32"/>
        </w:rPr>
        <w:t>The CaS Pathway</w:t>
      </w:r>
    </w:p>
    <w:p>
      <w:pPr>
        <w:pStyle w:val="BodyText"/>
        <w:spacing w:before="0" w:after="240"/>
        <w:jc w:val="both"/>
        <w:rPr/>
      </w:pPr>
      <w:r>
        <w:rPr>
          <w:b/>
          <w:sz w:val="21"/>
        </w:rPr>
        <w:t>Cultural friction → coordination system → adaptive strategy → subsystems and interfaces → signals and power → diagnosis → intervention → implementation → institutional capability</w:t>
      </w:r>
    </w:p>
    <w:p>
      <w:pPr>
        <w:pStyle w:val="Heading3"/>
        <w:spacing w:before="120" w:after="120"/>
        <w:jc w:val="start"/>
        <w:rPr/>
      </w:pPr>
      <w:r>
        <w:rPr>
          <w:b/>
          <w:sz w:val="24"/>
        </w:rPr>
        <w:t>The Culture-as-System Framework in One Sequence: From Cultural Difference to Coordination Diagnosis</w:t>
      </w:r>
    </w:p>
    <w:p>
      <w:pPr>
        <w:pStyle w:val="Normal"/>
        <w:spacing w:before="0" w:after="160"/>
        <w:rPr/>
      </w:pPr>
      <w:r>
        <w:rPr/>
        <w:t>The Culture-as-System framework develops cumulatively. Each stage adds a new analytical capability, moving the reader from cultural description toward constraint-aware diagnosis, intervention design, and institutional practice.</w:t>
      </w:r>
    </w:p>
    <w:tbl>
      <w:tblPr>
        <w:tblW w:w="9972" w:type="dxa"/>
        <w:jc w:val="center"/>
        <w:tblInd w:w="0" w:type="dxa"/>
        <w:tblLayout w:type="fixed"/>
        <w:tblCellMar>
          <w:top w:w="0" w:type="dxa"/>
          <w:start w:w="108" w:type="dxa"/>
          <w:bottom w:w="0" w:type="dxa"/>
          <w:end w:w="108" w:type="dxa"/>
        </w:tblCellMar>
        <w:tblLook w:val="04a0" w:firstRow="1" w:noVBand="1" w:lastRow="0" w:firstColumn="1" w:lastColumn="0" w:noHBand="0"/>
      </w:tblPr>
      <w:tblGrid>
        <w:gridCol w:w="9972"/>
      </w:tblGrid>
      <w:tr>
        <w:trPr/>
        <w:tc>
          <w:tcPr>
            <w:tcW w:w="9972" w:type="dxa"/>
            <w:tcBorders>
              <w:top w:val="single" w:sz="6" w:space="0" w:color="D9D9D9"/>
              <w:start w:val="single" w:sz="6" w:space="0" w:color="D9D9D9"/>
              <w:bottom w:val="single" w:sz="6" w:space="0" w:color="D9D9D9"/>
              <w:end w:val="single" w:sz="6" w:space="0" w:color="D9D9D9"/>
            </w:tcBorders>
            <w:shd w:fill="F2F2F2" w:val="clear"/>
          </w:tcPr>
          <w:p>
            <w:pPr>
              <w:pStyle w:val="Normal"/>
              <w:spacing w:before="0" w:after="60"/>
              <w:ind w:start="29"/>
              <w:rPr/>
            </w:pPr>
            <w:r>
              <w:rPr>
                <w:b/>
                <w:sz w:val="21"/>
              </w:rPr>
              <w:t>1. Orientation — Introduction</w:t>
            </w:r>
          </w:p>
          <w:p>
            <w:pPr>
              <w:pStyle w:val="Normal"/>
              <w:spacing w:before="0" w:after="40"/>
              <w:ind w:start="259"/>
              <w:rPr/>
            </w:pPr>
            <w:r>
              <w:rPr>
                <w:b/>
                <w:sz w:val="19"/>
              </w:rPr>
              <w:t xml:space="preserve">Core question: </w:t>
            </w:r>
            <w:r>
              <w:rPr>
                <w:sz w:val="19"/>
              </w:rPr>
              <w:t>Why do conventional cultural explanations fail when coordination breaks down?</w:t>
            </w:r>
          </w:p>
          <w:p>
            <w:pPr>
              <w:pStyle w:val="Normal"/>
              <w:spacing w:before="0" w:after="40"/>
              <w:ind w:start="259"/>
              <w:rPr/>
            </w:pPr>
            <w:r>
              <w:rPr>
                <w:b/>
                <w:sz w:val="19"/>
              </w:rPr>
              <w:t xml:space="preserve">Reader capability developed: </w:t>
            </w:r>
            <w:r>
              <w:rPr>
                <w:sz w:val="19"/>
              </w:rPr>
              <w:t>Recognise the gap between describing cultural difference and diagnosing cultural coordination failure.</w:t>
            </w:r>
          </w:p>
          <w:p>
            <w:pPr>
              <w:pStyle w:val="Normal"/>
              <w:spacing w:before="0" w:after="40"/>
              <w:ind w:start="259"/>
              <w:rPr/>
            </w:pPr>
            <w:r>
              <w:rPr>
                <w:b/>
                <w:sz w:val="19"/>
              </w:rPr>
              <w:t xml:space="preserve">Framework output: </w:t>
            </w:r>
            <w:r>
              <w:rPr>
                <w:sz w:val="19"/>
              </w:rPr>
              <w:t>The need for a systems-based framework.</w:t>
            </w:r>
          </w:p>
        </w:tc>
      </w:tr>
      <w:tr>
        <w:trPr/>
        <w:tc>
          <w:tcPr>
            <w:tcW w:w="9972" w:type="dxa"/>
            <w:tcBorders>
              <w:top w:val="single" w:sz="6" w:space="0" w:color="D9D9D9"/>
              <w:start w:val="single" w:sz="6" w:space="0" w:color="D9D9D9"/>
              <w:bottom w:val="single" w:sz="6" w:space="0" w:color="D9D9D9"/>
              <w:end w:val="single" w:sz="6" w:space="0" w:color="D9D9D9"/>
            </w:tcBorders>
            <w:shd w:fill="FAFAFA" w:val="clear"/>
          </w:tcPr>
          <w:p>
            <w:pPr>
              <w:pStyle w:val="Normal"/>
              <w:spacing w:before="0" w:after="60"/>
              <w:ind w:start="29"/>
              <w:rPr/>
            </w:pPr>
            <w:r>
              <w:rPr>
                <w:b/>
                <w:sz w:val="21"/>
              </w:rPr>
              <w:t>2. Foundations — Chapters 1–4</w:t>
            </w:r>
          </w:p>
          <w:p>
            <w:pPr>
              <w:pStyle w:val="Normal"/>
              <w:spacing w:before="0" w:after="40"/>
              <w:ind w:start="259"/>
              <w:rPr/>
            </w:pPr>
            <w:r>
              <w:rPr>
                <w:b/>
                <w:sz w:val="19"/>
              </w:rPr>
              <w:t xml:space="preserve">Core question: </w:t>
            </w:r>
            <w:r>
              <w:rPr>
                <w:sz w:val="19"/>
              </w:rPr>
              <w:t>What is culture, what does it do, how does it form, and why does it change?</w:t>
            </w:r>
          </w:p>
          <w:p>
            <w:pPr>
              <w:pStyle w:val="Normal"/>
              <w:spacing w:before="0" w:after="40"/>
              <w:ind w:start="259"/>
              <w:rPr/>
            </w:pPr>
            <w:r>
              <w:rPr>
                <w:b/>
                <w:sz w:val="19"/>
              </w:rPr>
              <w:t xml:space="preserve">Reader capability developed: </w:t>
            </w:r>
            <w:r>
              <w:rPr>
                <w:sz w:val="19"/>
              </w:rPr>
              <w:t>Understand culture as a historically formed adaptive coordination system shaped by constraints, resources, legitimacy, trust, meaning, conflict management, and continuity.</w:t>
            </w:r>
          </w:p>
          <w:p>
            <w:pPr>
              <w:pStyle w:val="Normal"/>
              <w:spacing w:before="0" w:after="40"/>
              <w:ind w:start="259"/>
              <w:rPr/>
            </w:pPr>
            <w:r>
              <w:rPr>
                <w:b/>
                <w:sz w:val="19"/>
              </w:rPr>
              <w:t xml:space="preserve">Framework output: </w:t>
            </w:r>
            <w:r>
              <w:rPr>
                <w:sz w:val="19"/>
              </w:rPr>
              <w:t>A theory of culture as adaptive coordination infrastructure.</w:t>
            </w:r>
          </w:p>
        </w:tc>
      </w:tr>
      <w:tr>
        <w:trPr/>
        <w:tc>
          <w:tcPr>
            <w:tcW w:w="9972" w:type="dxa"/>
            <w:tcBorders>
              <w:top w:val="single" w:sz="6" w:space="0" w:color="D9D9D9"/>
              <w:start w:val="single" w:sz="6" w:space="0" w:color="D9D9D9"/>
              <w:bottom w:val="single" w:sz="6" w:space="0" w:color="D9D9D9"/>
              <w:end w:val="single" w:sz="6" w:space="0" w:color="D9D9D9"/>
            </w:tcBorders>
            <w:shd w:fill="F2F2F2" w:val="clear"/>
          </w:tcPr>
          <w:p>
            <w:pPr>
              <w:pStyle w:val="Normal"/>
              <w:spacing w:before="0" w:after="60"/>
              <w:ind w:start="29"/>
              <w:rPr/>
            </w:pPr>
            <w:r>
              <w:rPr>
                <w:b/>
                <w:sz w:val="21"/>
              </w:rPr>
              <w:t>3. Internal Architecture — Chapters 5–8</w:t>
            </w:r>
          </w:p>
          <w:p>
            <w:pPr>
              <w:pStyle w:val="Normal"/>
              <w:spacing w:before="0" w:after="40"/>
              <w:ind w:start="259"/>
              <w:rPr/>
            </w:pPr>
            <w:r>
              <w:rPr>
                <w:b/>
                <w:sz w:val="19"/>
              </w:rPr>
              <w:t xml:space="preserve">Core question: </w:t>
            </w:r>
            <w:r>
              <w:rPr>
                <w:sz w:val="19"/>
              </w:rPr>
              <w:t>Where does cultural friction appear, how should it be read, and how does power shape interpretation?</w:t>
            </w:r>
          </w:p>
          <w:p>
            <w:pPr>
              <w:pStyle w:val="Normal"/>
              <w:spacing w:before="0" w:after="40"/>
              <w:ind w:start="259"/>
              <w:rPr/>
            </w:pPr>
            <w:r>
              <w:rPr>
                <w:b/>
                <w:sz w:val="19"/>
              </w:rPr>
              <w:t xml:space="preserve">Reader capability developed: </w:t>
            </w:r>
            <w:r>
              <w:rPr>
                <w:sz w:val="19"/>
              </w:rPr>
              <w:t>Identify subsystems, diagnose interfaces, read manifestations as signals, and recognise how power determines whose coordination logic becomes normal, whose signals are legitimised, and who bears maintenance costs.</w:t>
            </w:r>
          </w:p>
          <w:p>
            <w:pPr>
              <w:pStyle w:val="Normal"/>
              <w:spacing w:before="0" w:after="40"/>
              <w:ind w:start="259"/>
              <w:rPr/>
            </w:pPr>
            <w:r>
              <w:rPr>
                <w:b/>
                <w:sz w:val="19"/>
              </w:rPr>
              <w:t xml:space="preserve">Framework output: </w:t>
            </w:r>
            <w:r>
              <w:rPr>
                <w:sz w:val="19"/>
              </w:rPr>
              <w:t>The architecture of subsystems, interfaces, manifestations, signals, and power.</w:t>
            </w:r>
          </w:p>
        </w:tc>
      </w:tr>
      <w:tr>
        <w:trPr/>
        <w:tc>
          <w:tcPr>
            <w:tcW w:w="9972" w:type="dxa"/>
            <w:tcBorders>
              <w:top w:val="single" w:sz="6" w:space="0" w:color="D9D9D9"/>
              <w:start w:val="single" w:sz="6" w:space="0" w:color="D9D9D9"/>
              <w:bottom w:val="single" w:sz="6" w:space="0" w:color="D9D9D9"/>
              <w:end w:val="single" w:sz="6" w:space="0" w:color="D9D9D9"/>
            </w:tcBorders>
            <w:shd w:fill="FAFAFA" w:val="clear"/>
          </w:tcPr>
          <w:p>
            <w:pPr>
              <w:pStyle w:val="Normal"/>
              <w:spacing w:before="0" w:after="60"/>
              <w:ind w:start="29"/>
              <w:rPr/>
            </w:pPr>
            <w:r>
              <w:rPr>
                <w:b/>
                <w:sz w:val="21"/>
              </w:rPr>
              <w:t>4. Diagnosis and Intervention — Chapters 9–13</w:t>
            </w:r>
          </w:p>
          <w:p>
            <w:pPr>
              <w:pStyle w:val="Normal"/>
              <w:spacing w:before="0" w:after="40"/>
              <w:ind w:start="259"/>
              <w:rPr/>
            </w:pPr>
            <w:r>
              <w:rPr>
                <w:b/>
                <w:sz w:val="19"/>
              </w:rPr>
              <w:t xml:space="preserve">Core question: </w:t>
            </w:r>
            <w:r>
              <w:rPr>
                <w:sz w:val="19"/>
              </w:rPr>
              <w:t>How does a practitioner diagnose cultural systems and design interventions that hold?</w:t>
            </w:r>
          </w:p>
          <w:p>
            <w:pPr>
              <w:pStyle w:val="Normal"/>
              <w:spacing w:before="0" w:after="40"/>
              <w:ind w:start="259"/>
              <w:rPr/>
            </w:pPr>
            <w:r>
              <w:rPr>
                <w:b/>
                <w:sz w:val="19"/>
              </w:rPr>
              <w:t xml:space="preserve">Reader capability developed: </w:t>
            </w:r>
            <w:r>
              <w:rPr>
                <w:sz w:val="19"/>
              </w:rPr>
              <w:t>Apply observation-before-legitimation, map constraints, classify failure modes, audit cost distribution, redesign interfaces, sequence implementation, evaluate structural change, and make Go/No-Go decisions.</w:t>
            </w:r>
          </w:p>
          <w:p>
            <w:pPr>
              <w:pStyle w:val="Normal"/>
              <w:spacing w:before="0" w:after="40"/>
              <w:ind w:start="259"/>
              <w:rPr/>
            </w:pPr>
            <w:r>
              <w:rPr>
                <w:b/>
                <w:sz w:val="19"/>
              </w:rPr>
              <w:t xml:space="preserve">Framework output: </w:t>
            </w:r>
            <w:r>
              <w:rPr>
                <w:sz w:val="19"/>
              </w:rPr>
              <w:t>The CaS diagnostic and intervention protocol.</w:t>
            </w:r>
          </w:p>
        </w:tc>
      </w:tr>
      <w:tr>
        <w:trPr/>
        <w:tc>
          <w:tcPr>
            <w:tcW w:w="9972" w:type="dxa"/>
            <w:tcBorders>
              <w:top w:val="single" w:sz="6" w:space="0" w:color="D9D9D9"/>
              <w:start w:val="single" w:sz="6" w:space="0" w:color="D9D9D9"/>
              <w:bottom w:val="single" w:sz="6" w:space="0" w:color="D9D9D9"/>
              <w:end w:val="single" w:sz="6" w:space="0" w:color="D9D9D9"/>
            </w:tcBorders>
            <w:shd w:fill="F2F2F2" w:val="clear"/>
          </w:tcPr>
          <w:p>
            <w:pPr>
              <w:pStyle w:val="Normal"/>
              <w:spacing w:before="0" w:after="60"/>
              <w:ind w:start="29"/>
              <w:rPr/>
            </w:pPr>
            <w:r>
              <w:rPr>
                <w:b/>
                <w:sz w:val="21"/>
              </w:rPr>
              <w:t>5. Application and Institutionalisation — Chapters 14–16</w:t>
            </w:r>
          </w:p>
          <w:p>
            <w:pPr>
              <w:pStyle w:val="Normal"/>
              <w:spacing w:before="0" w:after="40"/>
              <w:ind w:start="259"/>
              <w:rPr/>
            </w:pPr>
            <w:r>
              <w:rPr>
                <w:b/>
                <w:sz w:val="19"/>
              </w:rPr>
              <w:t xml:space="preserve">Core question: </w:t>
            </w:r>
            <w:r>
              <w:rPr>
                <w:sz w:val="19"/>
              </w:rPr>
              <w:t>How does the framework scale into organisations, AI-assisted decision systems, and durable practice?</w:t>
            </w:r>
          </w:p>
          <w:p>
            <w:pPr>
              <w:pStyle w:val="Normal"/>
              <w:spacing w:before="0" w:after="40"/>
              <w:ind w:start="259"/>
              <w:rPr/>
            </w:pPr>
            <w:r>
              <w:rPr>
                <w:b/>
                <w:sz w:val="19"/>
              </w:rPr>
              <w:t xml:space="preserve">Reader capability developed: </w:t>
            </w:r>
            <w:r>
              <w:rPr>
                <w:sz w:val="19"/>
              </w:rPr>
              <w:t>Apply CaS to organisational forms, AI-assisted decision support, platform architectures, and institutional roles that embed constraint-aware diagnosis into organisational practice.</w:t>
            </w:r>
          </w:p>
          <w:p>
            <w:pPr>
              <w:pStyle w:val="Normal"/>
              <w:spacing w:before="0" w:after="40"/>
              <w:ind w:start="259"/>
              <w:rPr/>
            </w:pPr>
            <w:r>
              <w:rPr>
                <w:b/>
                <w:sz w:val="19"/>
              </w:rPr>
              <w:t xml:space="preserve">Framework output: </w:t>
            </w:r>
            <w:r>
              <w:rPr>
                <w:sz w:val="19"/>
              </w:rPr>
              <w:t>CaS as organisational and institutional capability.</w:t>
            </w:r>
          </w:p>
        </w:tc>
      </w:tr>
      <w:tr>
        <w:trPr/>
        <w:tc>
          <w:tcPr>
            <w:tcW w:w="9972" w:type="dxa"/>
            <w:tcBorders>
              <w:top w:val="single" w:sz="6" w:space="0" w:color="D9D9D9"/>
              <w:start w:val="single" w:sz="6" w:space="0" w:color="D9D9D9"/>
              <w:bottom w:val="single" w:sz="6" w:space="0" w:color="D9D9D9"/>
              <w:end w:val="single" w:sz="6" w:space="0" w:color="D9D9D9"/>
            </w:tcBorders>
            <w:shd w:fill="FAFAFA" w:val="clear"/>
          </w:tcPr>
          <w:p>
            <w:pPr>
              <w:pStyle w:val="Normal"/>
              <w:spacing w:before="0" w:after="60"/>
              <w:ind w:start="29"/>
              <w:rPr/>
            </w:pPr>
            <w:r>
              <w:rPr>
                <w:b/>
                <w:sz w:val="21"/>
              </w:rPr>
              <w:t>6. Closure — Epilogue</w:t>
            </w:r>
          </w:p>
          <w:p>
            <w:pPr>
              <w:pStyle w:val="Normal"/>
              <w:spacing w:before="0" w:after="40"/>
              <w:ind w:start="259"/>
              <w:rPr/>
            </w:pPr>
            <w:r>
              <w:rPr>
                <w:b/>
                <w:sz w:val="19"/>
              </w:rPr>
              <w:t xml:space="preserve">Core question: </w:t>
            </w:r>
            <w:r>
              <w:rPr>
                <w:sz w:val="19"/>
              </w:rPr>
              <w:t>What changes when culture is treated as coordination infrastructure?</w:t>
            </w:r>
          </w:p>
          <w:p>
            <w:pPr>
              <w:pStyle w:val="Normal"/>
              <w:spacing w:before="0" w:after="40"/>
              <w:ind w:start="259"/>
              <w:rPr/>
            </w:pPr>
            <w:r>
              <w:rPr>
                <w:b/>
                <w:sz w:val="19"/>
              </w:rPr>
              <w:t xml:space="preserve">Reader capability developed: </w:t>
            </w:r>
            <w:r>
              <w:rPr>
                <w:sz w:val="19"/>
              </w:rPr>
              <w:t>Shift the first question from cultural description to structural diagnosis: what coordination problem is being solved, under what constraints, by whom, through which legitimacy structure, and at whose cost?</w:t>
            </w:r>
          </w:p>
          <w:p>
            <w:pPr>
              <w:pStyle w:val="Normal"/>
              <w:spacing w:before="0" w:after="40"/>
              <w:ind w:start="259"/>
              <w:rPr/>
            </w:pPr>
            <w:r>
              <w:rPr>
                <w:b/>
                <w:sz w:val="19"/>
              </w:rPr>
              <w:t xml:space="preserve">Framework output: </w:t>
            </w:r>
            <w:r>
              <w:rPr>
                <w:sz w:val="19"/>
              </w:rPr>
              <w:t>A new discipline of cultural diagnosis.</w:t>
            </w:r>
          </w:p>
        </w:tc>
      </w:tr>
    </w:tbl>
    <w:p>
      <w:pPr>
        <w:pStyle w:val="BodyText"/>
        <w:rPr/>
      </w:pPr>
      <w:r>
        <w:rPr/>
      </w:r>
    </w:p>
    <w:p>
      <w:pPr>
        <w:pStyle w:val="BodyText"/>
        <w:rPr/>
      </w:pPr>
      <w:r>
        <w:rPr/>
        <w:t>The chapters that follow therefore ask the reader to shift from cultural description to cultural diagnosis. Specialists in cross-cultural studies will find familiar theories repositioned within a systems architecture. Practitioners will find tools for diagnosing the coordination failures that conventional cultural explanations often name but do not resolve. Across both audiences, the central discipline is the same: begin not with cultural attribution, but with the coordination problem, the constraint environment, the legitimacy structure, and the cost distribution that make cultural behaviour intelligible.</w:t>
      </w:r>
    </w:p>
    <w:p>
      <w:pPr>
        <w:pStyle w:val="Heading2"/>
        <w:rPr/>
      </w:pPr>
      <w:r>
        <w:rPr/>
        <w:t>References</w:t>
      </w:r>
    </w:p>
    <w:p>
      <w:pPr>
        <w:pStyle w:val="FirstParagraph"/>
        <w:rPr/>
      </w:pPr>
      <w:r>
        <w:rPr/>
        <w:t xml:space="preserve">Ackoff, R. L. (1999). </w:t>
      </w:r>
      <w:r>
        <w:rPr>
          <w:i/>
          <w:iCs/>
        </w:rPr>
        <w:t>Re-creating the corporation: A design of organizations for the 21st century</w:t>
      </w:r>
      <w:r>
        <w:rPr/>
        <w:t>. Oxford University Press.</w:t>
      </w:r>
    </w:p>
    <w:p>
      <w:pPr>
        <w:pStyle w:val="BodyText"/>
        <w:rPr/>
      </w:pPr>
      <w:r>
        <w:rPr/>
        <w:t xml:space="preserve">Gallegos, I. O., Rossi, R. A., Barrow, J., Tanjim, M. M., Kim, S., Dernoncourt, F., Yu, T., Zhang, R., &amp; Ahmed, N. K. (2025). Bias in large language models: Origin, evaluation, and mitigation. </w:t>
      </w:r>
      <w:r>
        <w:rPr>
          <w:i/>
          <w:iCs/>
        </w:rPr>
        <w:t>arXiv</w:t>
      </w:r>
      <w:r>
        <w:rPr/>
        <w:t>. https://arxiv.org/abs/2411.10915</w:t>
      </w:r>
    </w:p>
    <w:p>
      <w:pPr>
        <w:pStyle w:val="BodyText"/>
        <w:rPr/>
      </w:pPr>
      <w:r>
        <w:rPr/>
        <w:t xml:space="preserve">Johnson, R. L., Pistilli, G., Menédez-González, N., Dugan, L., Caufield, E., Bos, E., &amp; Blodgett, S. L. (2022). The ghost in the machine has an American accent: Value conflict in GPT-3. </w:t>
      </w:r>
      <w:r>
        <w:rPr>
          <w:i/>
          <w:iCs/>
        </w:rPr>
        <w:t>arXiv</w:t>
      </w:r>
      <w:r>
        <w:rPr/>
        <w:t>. https://doi.org/10.48550/arXiv.2203.07785</w:t>
      </w:r>
    </w:p>
    <w:p>
      <w:pPr>
        <w:pStyle w:val="BodyText"/>
        <w:rPr/>
      </w:pPr>
      <w:r>
        <w:rPr/>
        <w:t xml:space="preserve">Kirk, H. R., Vidgen, B., Röttger, P., &amp; Hale, S. A. (2023). The past, present and better future of feedback learning in large language models for subjective human preferences and values. In H. Bouamor, J. Pino, &amp; K. Bali (Eds.), </w:t>
      </w:r>
      <w:r>
        <w:rPr>
          <w:i/>
          <w:iCs/>
        </w:rPr>
        <w:t>Proceedings of the 2023 Conference on Empirical Methods in Natural Language Processing</w:t>
      </w:r>
      <w:r>
        <w:rPr/>
        <w:t xml:space="preserve"> (pp. 2409–2430). Association for Computational Linguistics. https://doi.org/10.18653/v1/2023.emnlp-main.148</w:t>
      </w:r>
    </w:p>
    <w:p>
      <w:pPr>
        <w:pStyle w:val="BodyText"/>
        <w:rPr/>
      </w:pPr>
      <w:r>
        <w:rPr/>
        <w:t xml:space="preserve">Masoud, R., Liu, Z., Ferianc, M., Treleaven, P. C., &amp; Rodrigues, M. (2024). Cultural bias in large language models: A comprehensive analysis and mitigation strategies. </w:t>
      </w:r>
      <w:r>
        <w:rPr>
          <w:i/>
          <w:iCs/>
        </w:rPr>
        <w:t>Journal of Technical Communication</w:t>
      </w:r>
      <w:r>
        <w:rPr/>
        <w:t>. De Gruyter.</w:t>
      </w:r>
    </w:p>
    <w:p>
      <w:pPr>
        <w:pStyle w:val="BodyText"/>
        <w:rPr/>
      </w:pPr>
      <w:r>
        <w:rPr/>
        <w:t xml:space="preserve">Meadows, D. H. (2008). </w:t>
      </w:r>
      <w:r>
        <w:rPr>
          <w:i/>
          <w:iCs/>
        </w:rPr>
        <w:t>Thinking in systems: A primer</w:t>
      </w:r>
      <w:r>
        <w:rPr/>
        <w:t>. Chelsea Green Publishing.</w:t>
      </w:r>
    </w:p>
    <w:p>
      <w:pPr>
        <w:pStyle w:val="BodyText"/>
        <w:rPr/>
      </w:pPr>
      <w:r>
        <w:rPr/>
        <w:t xml:space="preserve">Nature Computational Science. (2024). Generative language models exhibit social identity biases. </w:t>
      </w:r>
      <w:r>
        <w:rPr>
          <w:i/>
          <w:iCs/>
        </w:rPr>
        <w:t>Nature Computational Science</w:t>
      </w:r>
      <w:r>
        <w:rPr/>
        <w:t>. https://doi.org/10.1038/s43588-024-00741-1</w:t>
      </w:r>
    </w:p>
    <w:p>
      <w:pPr>
        <w:pStyle w:val="BodyText"/>
        <w:rPr/>
      </w:pPr>
      <w:r>
        <w:rPr/>
        <w:t xml:space="preserve">Nisbett, R. E. (2003). </w:t>
      </w:r>
      <w:r>
        <w:rPr>
          <w:i/>
          <w:iCs/>
        </w:rPr>
        <w:t>The geography of thought: How Asians and Westerners think differently — and why</w:t>
      </w:r>
      <w:r>
        <w:rPr/>
        <w:t>. Free Press.</w:t>
      </w:r>
    </w:p>
    <w:p>
      <w:pPr>
        <w:pStyle w:val="BodyText"/>
        <w:rPr/>
      </w:pPr>
      <w:r>
        <w:rPr/>
        <w:t xml:space="preserve">Senge, P. M. (1990). </w:t>
      </w:r>
      <w:r>
        <w:rPr>
          <w:i/>
          <w:iCs/>
        </w:rPr>
        <w:t>The fifth discipline: The art and practice of the learning organization</w:t>
      </w:r>
      <w:r>
        <w:rPr/>
        <w:t>. Doubleday.</w:t>
      </w:r>
    </w:p>
    <w:p>
      <w:pPr>
        <w:pStyle w:val="BodyText"/>
        <w:rPr/>
      </w:pPr>
      <w:r>
        <w:rPr/>
        <w:t xml:space="preserve">Snowden, D. J., &amp; Boone, M. E. (2007). A leader’s framework for decision making. </w:t>
      </w:r>
      <w:r>
        <w:rPr>
          <w:i/>
          <w:iCs/>
        </w:rPr>
        <w:t>Harvard Business Review</w:t>
      </w:r>
      <w:r>
        <w:rPr/>
        <w:t xml:space="preserve">, </w:t>
      </w:r>
      <w:r>
        <w:rPr>
          <w:i/>
          <w:iCs/>
        </w:rPr>
        <w:t>85</w:t>
      </w:r>
      <w:r>
        <w:rPr/>
        <w:t>(11), 68–76.</w:t>
      </w:r>
    </w:p>
    <w:p>
      <w:pPr>
        <w:pStyle w:val="BodyText"/>
        <w:rPr/>
      </w:pPr>
      <w:r>
        <w:rPr/>
        <w:t xml:space="preserve">Tao, Y., Viberg, O., Baker, R. S., &amp; Kizilcec, R. F. (2024). Cultural bias and cultural alignment of large language models. </w:t>
      </w:r>
      <w:r>
        <w:rPr>
          <w:i/>
          <w:iCs/>
        </w:rPr>
        <w:t>PNAS Nexus</w:t>
      </w:r>
      <w:r>
        <w:rPr/>
        <w:t xml:space="preserve">, </w:t>
      </w:r>
      <w:r>
        <w:rPr>
          <w:i/>
          <w:iCs/>
        </w:rPr>
        <w:t>3</w:t>
      </w:r>
      <w:r>
        <w:rPr/>
        <w:t>(9), pgae346. https://doi.org/10.1093/pnasnexus/pgae346</w:t>
      </w:r>
    </w:p>
    <w:p>
      <w:pPr>
        <w:pStyle w:val="BodyText"/>
        <w:rPr/>
      </w:pPr>
      <w:bookmarkStart w:id="6" w:name="references"/>
      <w:r>
        <w:rPr/>
        <w:t>Weidinger, L., Rauh, M., Marchal, N., Manzini, A., Hendricks, L. A., Mateos-Garcia, J., Bergman, S., Kay, J., Griffin, C., Bariach, B., Gabriel, I., Rieser, V., &amp; Isaac, W. (2025). Tokenising culture: Causes and consequences of cultural misalignment in large language models. Ada Lovelace Institute.</w:t>
      </w:r>
      <w:bookmarkEnd w:id="6"/>
    </w:p>
    <w:p>
      <w:pPr>
        <w:pStyle w:val="Heading2"/>
        <w:rPr/>
      </w:pPr>
      <w:bookmarkStart w:id="7" w:name="further-reading"/>
      <w:r>
        <w:rPr/>
        <w:t>Further Reading</w:t>
      </w:r>
    </w:p>
    <w:p>
      <w:pPr>
        <w:pStyle w:val="FirstParagraph"/>
        <w:rPr/>
      </w:pPr>
      <w:r>
        <w:rPr/>
        <w:t xml:space="preserve">Meadows, D. H. (2008). </w:t>
      </w:r>
      <w:r>
        <w:rPr>
          <w:i/>
          <w:iCs/>
        </w:rPr>
        <w:t>Thinking in systems: A primer</w:t>
      </w:r>
      <w:r>
        <w:rPr/>
        <w:t>. Chelsea Green Publishing. — The most accessible rigorous introduction to systems thinking; essential foundation for the CaS framework’s analytical architecture.</w:t>
      </w:r>
    </w:p>
    <w:p>
      <w:pPr>
        <w:pStyle w:val="BodyText"/>
        <w:rPr/>
      </w:pPr>
      <w:r>
        <w:rPr/>
        <w:t xml:space="preserve">Senge, P. M. (1990). </w:t>
      </w:r>
      <w:r>
        <w:rPr>
          <w:i/>
          <w:iCs/>
        </w:rPr>
        <w:t>The fifth discipline</w:t>
      </w:r>
      <w:r>
        <w:rPr/>
        <w:t>. Doubleday. — Applies systems thinking to organisational learning; the mental models concept maps directly onto culturally conditioned cognitive styles discussed throughout this book.</w:t>
      </w:r>
    </w:p>
    <w:p>
      <w:pPr>
        <w:pStyle w:val="BodyText"/>
        <w:rPr/>
      </w:pPr>
      <w:r>
        <w:rPr/>
        <w:t xml:space="preserve">Snowden, D. J., &amp; Boone, M. E. (2007). A leader’s framework for decision making. </w:t>
      </w:r>
      <w:r>
        <w:rPr>
          <w:i/>
          <w:iCs/>
        </w:rPr>
        <w:t>Harvard Business Review</w:t>
      </w:r>
      <w:r>
        <w:rPr/>
        <w:t xml:space="preserve">, </w:t>
      </w:r>
      <w:r>
        <w:rPr>
          <w:i/>
          <w:iCs/>
        </w:rPr>
        <w:t>85</w:t>
      </w:r>
      <w:r>
        <w:rPr/>
        <w:t>(11), 68–76. — The Cynefin framework; essential for understanding the complicated/complex distinction that underpins the CaS methodology.</w:t>
      </w:r>
    </w:p>
    <w:p>
      <w:pPr>
        <w:pStyle w:val="BodyText"/>
        <w:rPr/>
      </w:pPr>
      <w:r>
        <w:rPr/>
        <w:t xml:space="preserve">Nisbett, R. E. (2003). </w:t>
      </w:r>
      <w:r>
        <w:rPr>
          <w:i/>
          <w:iCs/>
        </w:rPr>
        <w:t>The geography of thought</w:t>
      </w:r>
      <w:r>
        <w:rPr/>
        <w:t>. Free Press. — The most accessible summary of holistic versus analytic cognitive styles and their cultural transmission; directly relevant to the framework’s treatment of cognitive architecture.</w:t>
      </w:r>
    </w:p>
    <w:p>
      <w:pPr>
        <w:pStyle w:val="BodyText"/>
        <w:spacing w:lineRule="auto" w:line="276" w:before="0" w:after="140"/>
        <w:rPr/>
      </w:pPr>
      <w:r>
        <w:rPr/>
      </w:r>
      <w:bookmarkEnd w:id="0"/>
      <w:bookmarkEnd w:id="7"/>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70"/>
  <w:embedSystemFonts/>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SimSun" w:cs="Lucida Sans"/>
      <w:b/>
      <w:bCs/>
      <w:sz w:val="24"/>
      <w:szCs w:val="24"/>
    </w:rPr>
  </w:style>
  <w:style w:type="character" w:styleId="Bulletsuser">
    <w:name w:val="Bullets (user)"/>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character" w:styleId="KeywordTok" w:customStyle="1">
    <w:name w:val="KeywordTok"/>
    <w:qFormat/>
    <w:rPr>
      <w:b/>
      <w:color w:val="007020"/>
    </w:rPr>
  </w:style>
  <w:style w:type="character" w:styleId="DataTypeTok" w:customStyle="1">
    <w:name w:val="DataTypeTok"/>
    <w:qFormat/>
    <w:rPr>
      <w:color w:val="902000"/>
    </w:rPr>
  </w:style>
  <w:style w:type="character" w:styleId="DecValTok" w:customStyle="1">
    <w:name w:val="DecValTok"/>
    <w:qFormat/>
    <w:rPr>
      <w:color w:val="40A070"/>
    </w:rPr>
  </w:style>
  <w:style w:type="character" w:styleId="BaseNTok" w:customStyle="1">
    <w:name w:val="BaseNTok"/>
    <w:qFormat/>
    <w:rPr>
      <w:color w:val="40A070"/>
    </w:rPr>
  </w:style>
  <w:style w:type="character" w:styleId="FloatTok" w:customStyle="1">
    <w:name w:val="FloatTok"/>
    <w:qFormat/>
    <w:rPr>
      <w:color w:val="40A070"/>
    </w:rPr>
  </w:style>
  <w:style w:type="character" w:styleId="ConstantTok" w:customStyle="1">
    <w:name w:val="ConstantTok"/>
    <w:qFormat/>
    <w:rPr>
      <w:color w:val="880000"/>
    </w:rPr>
  </w:style>
  <w:style w:type="character" w:styleId="CharTok" w:customStyle="1">
    <w:name w:val="CharTok"/>
    <w:qFormat/>
    <w:rPr>
      <w:color w:val="4070A0"/>
    </w:rPr>
  </w:style>
  <w:style w:type="character" w:styleId="SpecialCharTok" w:customStyle="1">
    <w:name w:val="SpecialCharTok"/>
    <w:qFormat/>
    <w:rPr>
      <w:color w:val="4070A0"/>
    </w:rPr>
  </w:style>
  <w:style w:type="character" w:styleId="StringTok" w:customStyle="1">
    <w:name w:val="StringTok"/>
    <w:qFormat/>
    <w:rPr>
      <w:color w:val="4070A0"/>
    </w:rPr>
  </w:style>
  <w:style w:type="character" w:styleId="VerbatimStringTok" w:customStyle="1">
    <w:name w:val="VerbatimStringTok"/>
    <w:qFormat/>
    <w:rPr>
      <w:color w:val="4070A0"/>
    </w:rPr>
  </w:style>
  <w:style w:type="character" w:styleId="SpecialStringTok" w:customStyle="1">
    <w:name w:val="SpecialStringTok"/>
    <w:qFormat/>
    <w:rPr>
      <w:color w:val="BB6688"/>
    </w:rPr>
  </w:style>
  <w:style w:type="character" w:styleId="ImportTok" w:customStyle="1">
    <w:name w:val="ImportTok"/>
    <w:qFormat/>
    <w:rPr>
      <w:b/>
      <w:color w:val="008000"/>
    </w:rPr>
  </w:style>
  <w:style w:type="character" w:styleId="CommentTok" w:customStyle="1">
    <w:name w:val="CommentTok"/>
    <w:qFormat/>
    <w:rPr>
      <w:i/>
      <w:color w:val="60A0B0"/>
    </w:rPr>
  </w:style>
  <w:style w:type="character" w:styleId="DocumentationTok" w:customStyle="1">
    <w:name w:val="DocumentationTok"/>
    <w:qFormat/>
    <w:rPr>
      <w:i/>
      <w:color w:val="BA2121"/>
    </w:rPr>
  </w:style>
  <w:style w:type="character" w:styleId="AnnotationTok" w:customStyle="1">
    <w:name w:val="AnnotationTok"/>
    <w:qFormat/>
    <w:rPr>
      <w:b/>
      <w:i/>
      <w:color w:val="60A0B0"/>
    </w:rPr>
  </w:style>
  <w:style w:type="character" w:styleId="CommentVarTok" w:customStyle="1">
    <w:name w:val="CommentVarTok"/>
    <w:qFormat/>
    <w:rPr>
      <w:b/>
      <w:i/>
      <w:color w:val="60A0B0"/>
    </w:rPr>
  </w:style>
  <w:style w:type="character" w:styleId="OtherTok" w:customStyle="1">
    <w:name w:val="OtherTok"/>
    <w:qFormat/>
    <w:rPr>
      <w:color w:val="007020"/>
    </w:rPr>
  </w:style>
  <w:style w:type="character" w:styleId="FunctionTok" w:customStyle="1">
    <w:name w:val="FunctionTok"/>
    <w:qFormat/>
    <w:rPr>
      <w:color w:val="06287E"/>
    </w:rPr>
  </w:style>
  <w:style w:type="character" w:styleId="VariableTok" w:customStyle="1">
    <w:name w:val="VariableTok"/>
    <w:qFormat/>
    <w:rPr>
      <w:color w:val="19177C"/>
    </w:rPr>
  </w:style>
  <w:style w:type="character" w:styleId="ControlFlowTok" w:customStyle="1">
    <w:name w:val="ControlFlowTok"/>
    <w:qFormat/>
    <w:rPr>
      <w:b/>
      <w:color w:val="007020"/>
    </w:rPr>
  </w:style>
  <w:style w:type="character" w:styleId="OperatorTok" w:customStyle="1">
    <w:name w:val="OperatorTok"/>
    <w:qFormat/>
    <w:rPr>
      <w:color w:val="666666"/>
    </w:rPr>
  </w:style>
  <w:style w:type="character" w:styleId="BuiltInTok" w:customStyle="1">
    <w:name w:val="BuiltInTok"/>
    <w:qFormat/>
    <w:rPr>
      <w:color w:val="008000"/>
    </w:rPr>
  </w:style>
  <w:style w:type="character" w:styleId="ExtensionTok" w:customStyle="1">
    <w:name w:val="ExtensionTok"/>
    <w:qFormat/>
    <w:rPr/>
  </w:style>
  <w:style w:type="character" w:styleId="PreprocessorTok" w:customStyle="1">
    <w:name w:val="PreprocessorTok"/>
    <w:qFormat/>
    <w:rPr>
      <w:color w:val="BC7A00"/>
    </w:rPr>
  </w:style>
  <w:style w:type="character" w:styleId="AttributeTok" w:customStyle="1">
    <w:name w:val="AttributeTok"/>
    <w:qFormat/>
    <w:rPr>
      <w:color w:val="7D9029"/>
    </w:rPr>
  </w:style>
  <w:style w:type="character" w:styleId="RegionMarkerTok" w:customStyle="1">
    <w:name w:val="RegionMarkerTok"/>
    <w:qFormat/>
    <w:rPr/>
  </w:style>
  <w:style w:type="character" w:styleId="InformationTok" w:customStyle="1">
    <w:name w:val="InformationTok"/>
    <w:qFormat/>
    <w:rPr>
      <w:b/>
      <w:i/>
      <w:color w:val="60A0B0"/>
    </w:rPr>
  </w:style>
  <w:style w:type="character" w:styleId="WarningTok" w:customStyle="1">
    <w:name w:val="WarningTok"/>
    <w:qFormat/>
    <w:rPr>
      <w:b/>
      <w:i/>
      <w:color w:val="60A0B0"/>
    </w:rPr>
  </w:style>
  <w:style w:type="character" w:styleId="AlertTok" w:customStyle="1">
    <w:name w:val="AlertTok"/>
    <w:qFormat/>
    <w:rPr>
      <w:b/>
      <w:color w:val="FF0000"/>
    </w:rPr>
  </w:style>
  <w:style w:type="character" w:styleId="ErrorTok" w:customStyle="1">
    <w:name w:val="ErrorTok"/>
    <w:qFormat/>
    <w:rPr>
      <w:b/>
      <w:color w:val="FF0000"/>
    </w:rPr>
  </w:style>
  <w:style w:type="character" w:styleId="NormalTok" w:customStyle="1">
    <w:name w:val="NormalTok"/>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rameContents">
    <w:name w:val="Frame Contents"/>
    <w:basedOn w:val="Normal"/>
    <w:qFormat/>
    <w:pPr/>
    <w:rPr/>
  </w:style>
  <w:style w:type="paragraph" w:styleId="Title">
    <w:name w:val="Title"/>
    <w:basedOn w:val="Heading"/>
    <w:next w:val="BodyText"/>
    <w:qFormat/>
    <w:pPr>
      <w:jc w:val="center"/>
    </w:pPr>
    <w:rPr>
      <w:b/>
      <w:bCs/>
      <w:sz w:val="56"/>
      <w:szCs w:val="56"/>
    </w:rPr>
  </w:style>
  <w:style w:type="paragraph" w:styleId="FrameContentsuser">
    <w:name w:val="Frame Contents (user)"/>
    <w:basedOn w:val="Normal"/>
    <w:qFormat/>
    <w:pPr/>
    <w:rPr/>
  </w:style>
  <w:style w:type="paragraph" w:styleId="SourceCode" w:customStyle="1">
    <w:name w:val="Source Code"/>
    <w:basedOn w:val="Normal"/>
    <w:qFormat/>
    <w:pPr/>
    <w:rPr/>
  </w:style>
  <w:style w:type="paragraph" w:styleId="FirstParagraph">
    <w:name w:val="First Paragraph"/>
    <w:basedOn w:val="BodyText"/>
    <w:qFormat/>
    <w:pPr>
      <w:spacing w:lineRule="auto" w:line="276" w:before="0" w:after="140"/>
    </w:pPr>
    <w:rPr/>
  </w:style>
  <w:style w:type="paragraph" w:styleId="Compact">
    <w:name w:val="Compact"/>
    <w:basedOn w:val="Normal"/>
    <w:qFormat/>
    <w:pPr>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LibreOffice/26.2.4.2$Windows_X86_64 LibreOffice_project/0229ac93fcf0d7cbc6376066c6f35021cef002dc</Application>
  <AppVersion>15.0000</AppVersion>
  <Pages>8</Pages>
  <Words>3355</Words>
  <Characters>21288</Characters>
  <CharactersWithSpaces>24587</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2026-06-16T02:38:35Z</dcterms:created>
  <dc:creator/>
  <dc:description/>
  <dc:language>en-US</dc:language>
  <cp:lastModifiedBy/>
  <dcterms:modified xsi:type="dcterms:W3CDTF">2026-07-06T12:16:14Z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